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8ED1B" w14:textId="77777777" w:rsidR="00B1065D" w:rsidRPr="00B1065D" w:rsidRDefault="00B1065D" w:rsidP="00B1065D">
      <w:pPr>
        <w:jc w:val="both"/>
        <w:rPr>
          <w:rFonts w:ascii="Times New Roman" w:hAnsi="Times New Roman" w:cs="Times New Roman"/>
          <w:b/>
          <w:bCs/>
        </w:rPr>
      </w:pPr>
      <w:r w:rsidRPr="00B1065D">
        <w:rPr>
          <w:rFonts w:ascii="Times New Roman" w:hAnsi="Times New Roman" w:cs="Times New Roman"/>
          <w:b/>
          <w:bCs/>
        </w:rPr>
        <w:t>MOKSLINIS-PRAKTINIS EKONOMINIO NAUDINGUMO KRITERIJŲ (TECHNINIŲ PRANAŠUMŲ) PAGRINDIMAS</w:t>
      </w:r>
    </w:p>
    <w:p w14:paraId="4D9CFD13" w14:textId="77777777" w:rsidR="00B1065D" w:rsidRPr="00B1065D" w:rsidRDefault="00B1065D" w:rsidP="00B1065D">
      <w:pPr>
        <w:jc w:val="both"/>
        <w:rPr>
          <w:rFonts w:ascii="Times New Roman" w:hAnsi="Times New Roman" w:cs="Times New Roman"/>
          <w:b/>
          <w:bCs/>
        </w:rPr>
      </w:pPr>
    </w:p>
    <w:p w14:paraId="1AA59AB2" w14:textId="77777777" w:rsidR="00B1065D" w:rsidRPr="00B1065D" w:rsidRDefault="00B1065D" w:rsidP="00B1065D">
      <w:pPr>
        <w:jc w:val="both"/>
        <w:rPr>
          <w:rFonts w:ascii="Times New Roman" w:hAnsi="Times New Roman" w:cs="Times New Roman"/>
          <w:b/>
          <w:bCs/>
        </w:rPr>
      </w:pPr>
      <w:r w:rsidRPr="00B1065D">
        <w:rPr>
          <w:rFonts w:ascii="Times New Roman" w:hAnsi="Times New Roman" w:cs="Times New Roman"/>
          <w:b/>
          <w:bCs/>
        </w:rPr>
        <w:t xml:space="preserve">1. Skiriamosios gebos ir duomenų surinkimo dažnio derinys ≥ 100000 FWHM, ≥100 Hz, &lt; 0,5 </w:t>
      </w:r>
      <w:proofErr w:type="spellStart"/>
      <w:r w:rsidRPr="00B1065D">
        <w:rPr>
          <w:rFonts w:ascii="Times New Roman" w:hAnsi="Times New Roman" w:cs="Times New Roman"/>
          <w:b/>
          <w:bCs/>
        </w:rPr>
        <w:t>ppm</w:t>
      </w:r>
      <w:proofErr w:type="spellEnd"/>
    </w:p>
    <w:p w14:paraId="5E2C5B81" w14:textId="77777777" w:rsidR="00B1065D" w:rsidRPr="00B1065D" w:rsidRDefault="00B1065D" w:rsidP="00B1065D">
      <w:pPr>
        <w:numPr>
          <w:ilvl w:val="0"/>
          <w:numId w:val="1"/>
        </w:numPr>
        <w:jc w:val="both"/>
        <w:rPr>
          <w:rFonts w:ascii="Times New Roman" w:hAnsi="Times New Roman" w:cs="Times New Roman"/>
        </w:rPr>
      </w:pPr>
      <w:r w:rsidRPr="00B1065D">
        <w:rPr>
          <w:rFonts w:ascii="Times New Roman" w:hAnsi="Times New Roman" w:cs="Times New Roman"/>
          <w:b/>
          <w:bCs/>
        </w:rPr>
        <w:t>Mokslinė nauda:</w:t>
      </w:r>
      <w:r w:rsidRPr="00B1065D">
        <w:rPr>
          <w:rFonts w:ascii="Times New Roman" w:hAnsi="Times New Roman" w:cs="Times New Roman"/>
        </w:rPr>
        <w:t xml:space="preserve"> Sudėtingose biologinėse ir aplinkos matricose (pvz., kraujo plazmoje, nuotekose ir kt.) tūkstančiai skirtingų junginių turi beveik identišką masę (izobariniai trukdžiai). ≥ 100000 FWHM </w:t>
      </w:r>
      <w:proofErr w:type="spellStart"/>
      <w:r w:rsidRPr="00B1065D">
        <w:rPr>
          <w:rFonts w:ascii="Times New Roman" w:hAnsi="Times New Roman" w:cs="Times New Roman"/>
        </w:rPr>
        <w:t>FWHM</w:t>
      </w:r>
      <w:proofErr w:type="spellEnd"/>
      <w:r w:rsidRPr="00B1065D">
        <w:rPr>
          <w:rFonts w:ascii="Times New Roman" w:hAnsi="Times New Roman" w:cs="Times New Roman"/>
        </w:rPr>
        <w:t xml:space="preserve"> skiriamoji geba kartu su </w:t>
      </w:r>
      <w:proofErr w:type="spellStart"/>
      <w:r w:rsidRPr="00B1065D">
        <w:rPr>
          <w:rFonts w:ascii="Times New Roman" w:hAnsi="Times New Roman" w:cs="Times New Roman"/>
        </w:rPr>
        <w:t>sub-ppm</w:t>
      </w:r>
      <w:proofErr w:type="spellEnd"/>
      <w:r w:rsidRPr="00B1065D">
        <w:rPr>
          <w:rFonts w:ascii="Times New Roman" w:hAnsi="Times New Roman" w:cs="Times New Roman"/>
        </w:rPr>
        <w:t xml:space="preserve"> &lt; 0,5 </w:t>
      </w:r>
      <w:proofErr w:type="spellStart"/>
      <w:r w:rsidRPr="00B1065D">
        <w:rPr>
          <w:rFonts w:ascii="Times New Roman" w:hAnsi="Times New Roman" w:cs="Times New Roman"/>
        </w:rPr>
        <w:t>ppm</w:t>
      </w:r>
      <w:proofErr w:type="spellEnd"/>
      <w:r w:rsidRPr="00B1065D">
        <w:rPr>
          <w:rFonts w:ascii="Times New Roman" w:hAnsi="Times New Roman" w:cs="Times New Roman"/>
        </w:rPr>
        <w:t xml:space="preserve"> masių tikslumu leidžia vienareikšmiškai atskirti šias persidengiančias smailes ir teisingai nustatyti elementinę junginio sudėtį.</w:t>
      </w:r>
    </w:p>
    <w:p w14:paraId="66BF5095" w14:textId="77777777" w:rsidR="00B1065D" w:rsidRPr="00B1065D" w:rsidRDefault="00B1065D" w:rsidP="00B1065D">
      <w:pPr>
        <w:numPr>
          <w:ilvl w:val="0"/>
          <w:numId w:val="1"/>
        </w:numPr>
        <w:jc w:val="both"/>
        <w:rPr>
          <w:rFonts w:ascii="Times New Roman" w:hAnsi="Times New Roman" w:cs="Times New Roman"/>
        </w:rPr>
      </w:pPr>
      <w:r w:rsidRPr="00B1065D">
        <w:rPr>
          <w:rFonts w:ascii="Times New Roman" w:hAnsi="Times New Roman" w:cs="Times New Roman"/>
          <w:b/>
          <w:bCs/>
        </w:rPr>
        <w:t>Praktinė nauda:</w:t>
      </w:r>
      <w:r w:rsidRPr="00B1065D">
        <w:rPr>
          <w:rFonts w:ascii="Times New Roman" w:hAnsi="Times New Roman" w:cs="Times New Roman"/>
        </w:rPr>
        <w:t xml:space="preserve"> ≥ 100 Hz skenavimo dažnis MS/MS režime užtikrina, kad greitai </w:t>
      </w:r>
      <w:proofErr w:type="spellStart"/>
      <w:r w:rsidRPr="00B1065D">
        <w:rPr>
          <w:rFonts w:ascii="Times New Roman" w:hAnsi="Times New Roman" w:cs="Times New Roman"/>
        </w:rPr>
        <w:t>eliuuojantis</w:t>
      </w:r>
      <w:proofErr w:type="spellEnd"/>
      <w:r w:rsidRPr="00B1065D">
        <w:rPr>
          <w:rFonts w:ascii="Times New Roman" w:hAnsi="Times New Roman" w:cs="Times New Roman"/>
        </w:rPr>
        <w:t xml:space="preserve"> </w:t>
      </w:r>
      <w:proofErr w:type="spellStart"/>
      <w:r w:rsidRPr="00B1065D">
        <w:rPr>
          <w:rFonts w:ascii="Times New Roman" w:hAnsi="Times New Roman" w:cs="Times New Roman"/>
        </w:rPr>
        <w:t>chromatografinei</w:t>
      </w:r>
      <w:proofErr w:type="spellEnd"/>
      <w:r w:rsidRPr="00B1065D">
        <w:rPr>
          <w:rFonts w:ascii="Times New Roman" w:hAnsi="Times New Roman" w:cs="Times New Roman"/>
        </w:rPr>
        <w:t xml:space="preserve"> smailei (trukmė ~1–2 sek. UHPLC sistemoje) prietaisas spės surinkti pakankamai kokybinių taškų struktūros identifikavimui, neprarandant kiekybinių duomenų tikslumo.</w:t>
      </w:r>
    </w:p>
    <w:p w14:paraId="54835379" w14:textId="77777777" w:rsidR="00B1065D" w:rsidRPr="00B1065D" w:rsidRDefault="00B1065D" w:rsidP="00B1065D">
      <w:pPr>
        <w:jc w:val="both"/>
        <w:rPr>
          <w:rFonts w:ascii="Times New Roman" w:hAnsi="Times New Roman" w:cs="Times New Roman"/>
          <w:b/>
          <w:bCs/>
        </w:rPr>
      </w:pPr>
      <w:r w:rsidRPr="00B1065D">
        <w:rPr>
          <w:rFonts w:ascii="Times New Roman" w:hAnsi="Times New Roman" w:cs="Times New Roman"/>
          <w:b/>
          <w:bCs/>
        </w:rPr>
        <w:t xml:space="preserve">2. Masės atrankos intervalas </w:t>
      </w:r>
      <w:proofErr w:type="spellStart"/>
      <w:r w:rsidRPr="00B1065D">
        <w:rPr>
          <w:rFonts w:ascii="Times New Roman" w:hAnsi="Times New Roman" w:cs="Times New Roman"/>
          <w:b/>
          <w:bCs/>
        </w:rPr>
        <w:t>prekursoriams</w:t>
      </w:r>
      <w:proofErr w:type="spellEnd"/>
      <w:r w:rsidRPr="00B1065D">
        <w:rPr>
          <w:rFonts w:ascii="Times New Roman" w:hAnsi="Times New Roman" w:cs="Times New Roman"/>
          <w:b/>
          <w:bCs/>
        </w:rPr>
        <w:t xml:space="preserve"> iki ≥ 8000 </w:t>
      </w:r>
      <w:r w:rsidRPr="00B1065D">
        <w:rPr>
          <w:rFonts w:ascii="Times New Roman" w:hAnsi="Times New Roman" w:cs="Times New Roman"/>
          <w:b/>
          <w:bCs/>
          <w:i/>
          <w:iCs/>
        </w:rPr>
        <w:t>m/z</w:t>
      </w:r>
      <w:r w:rsidRPr="00B1065D">
        <w:rPr>
          <w:rFonts w:ascii="Times New Roman" w:hAnsi="Times New Roman" w:cs="Times New Roman"/>
          <w:b/>
          <w:bCs/>
        </w:rPr>
        <w:t xml:space="preserve"> (</w:t>
      </w:r>
      <w:proofErr w:type="spellStart"/>
      <w:r w:rsidRPr="00B1065D">
        <w:rPr>
          <w:rFonts w:ascii="Times New Roman" w:hAnsi="Times New Roman" w:cs="Times New Roman"/>
          <w:b/>
          <w:bCs/>
        </w:rPr>
        <w:t>Da</w:t>
      </w:r>
      <w:proofErr w:type="spellEnd"/>
      <w:r w:rsidRPr="00B1065D">
        <w:rPr>
          <w:rFonts w:ascii="Times New Roman" w:hAnsi="Times New Roman" w:cs="Times New Roman"/>
          <w:b/>
          <w:bCs/>
        </w:rPr>
        <w:t xml:space="preserve">) </w:t>
      </w:r>
    </w:p>
    <w:p w14:paraId="4D261FA6" w14:textId="77777777" w:rsidR="00B1065D" w:rsidRPr="00B1065D" w:rsidRDefault="00B1065D" w:rsidP="00B1065D">
      <w:pPr>
        <w:numPr>
          <w:ilvl w:val="0"/>
          <w:numId w:val="2"/>
        </w:numPr>
        <w:jc w:val="both"/>
        <w:rPr>
          <w:rFonts w:ascii="Times New Roman" w:hAnsi="Times New Roman" w:cs="Times New Roman"/>
        </w:rPr>
      </w:pPr>
      <w:r w:rsidRPr="00B1065D">
        <w:rPr>
          <w:rFonts w:ascii="Times New Roman" w:hAnsi="Times New Roman" w:cs="Times New Roman"/>
          <w:b/>
          <w:bCs/>
        </w:rPr>
        <w:t>Mokslinė nauda:</w:t>
      </w:r>
      <w:r w:rsidRPr="00B1065D">
        <w:rPr>
          <w:rFonts w:ascii="Times New Roman" w:hAnsi="Times New Roman" w:cs="Times New Roman"/>
        </w:rPr>
        <w:t xml:space="preserve"> Atliekant ne tik mažų molekulių </w:t>
      </w:r>
      <w:proofErr w:type="spellStart"/>
      <w:r w:rsidRPr="00B1065D">
        <w:rPr>
          <w:rFonts w:ascii="Times New Roman" w:hAnsi="Times New Roman" w:cs="Times New Roman"/>
        </w:rPr>
        <w:t>screeningą</w:t>
      </w:r>
      <w:proofErr w:type="spellEnd"/>
      <w:r w:rsidRPr="00B1065D">
        <w:rPr>
          <w:rFonts w:ascii="Times New Roman" w:hAnsi="Times New Roman" w:cs="Times New Roman"/>
        </w:rPr>
        <w:t xml:space="preserve">, bet ir pažangius tyrimus (pvz., stambių organinių teršalų kompleksų, </w:t>
      </w:r>
      <w:proofErr w:type="spellStart"/>
      <w:r w:rsidRPr="00B1065D">
        <w:rPr>
          <w:rFonts w:ascii="Times New Roman" w:hAnsi="Times New Roman" w:cs="Times New Roman"/>
        </w:rPr>
        <w:t>intaktinių</w:t>
      </w:r>
      <w:proofErr w:type="spellEnd"/>
      <w:r w:rsidRPr="00B1065D">
        <w:rPr>
          <w:rFonts w:ascii="Times New Roman" w:hAnsi="Times New Roman" w:cs="Times New Roman"/>
        </w:rPr>
        <w:t xml:space="preserve"> </w:t>
      </w:r>
      <w:proofErr w:type="spellStart"/>
      <w:r w:rsidRPr="00B1065D">
        <w:rPr>
          <w:rFonts w:ascii="Times New Roman" w:hAnsi="Times New Roman" w:cs="Times New Roman"/>
        </w:rPr>
        <w:t>biomolekulių</w:t>
      </w:r>
      <w:proofErr w:type="spellEnd"/>
      <w:r w:rsidRPr="00B1065D">
        <w:rPr>
          <w:rFonts w:ascii="Times New Roman" w:hAnsi="Times New Roman" w:cs="Times New Roman"/>
        </w:rPr>
        <w:t xml:space="preserve">, </w:t>
      </w:r>
      <w:proofErr w:type="spellStart"/>
      <w:r w:rsidRPr="00B1065D">
        <w:rPr>
          <w:rFonts w:ascii="Times New Roman" w:hAnsi="Times New Roman" w:cs="Times New Roman"/>
        </w:rPr>
        <w:t>oligomerų</w:t>
      </w:r>
      <w:proofErr w:type="spellEnd"/>
      <w:r w:rsidRPr="00B1065D">
        <w:rPr>
          <w:rFonts w:ascii="Times New Roman" w:hAnsi="Times New Roman" w:cs="Times New Roman"/>
        </w:rPr>
        <w:t xml:space="preserve"> ar biologinių vaistų charakterizavimą), reikalingas platus masių diapazonas.</w:t>
      </w:r>
    </w:p>
    <w:p w14:paraId="4A990336" w14:textId="77777777" w:rsidR="00B1065D" w:rsidRPr="00B1065D" w:rsidRDefault="00B1065D" w:rsidP="00B1065D">
      <w:pPr>
        <w:numPr>
          <w:ilvl w:val="0"/>
          <w:numId w:val="2"/>
        </w:numPr>
        <w:jc w:val="both"/>
        <w:rPr>
          <w:rFonts w:ascii="Times New Roman" w:hAnsi="Times New Roman" w:cs="Times New Roman"/>
        </w:rPr>
      </w:pPr>
      <w:r w:rsidRPr="00B1065D">
        <w:rPr>
          <w:rFonts w:ascii="Times New Roman" w:hAnsi="Times New Roman" w:cs="Times New Roman"/>
          <w:b/>
          <w:bCs/>
        </w:rPr>
        <w:t>Praktinė nauda:</w:t>
      </w:r>
      <w:r w:rsidRPr="00B1065D">
        <w:rPr>
          <w:rFonts w:ascii="Times New Roman" w:hAnsi="Times New Roman" w:cs="Times New Roman"/>
        </w:rPr>
        <w:t xml:space="preserve"> Užtikrinamas laboratorijos universalumas ir įrangos pritaikomumas ateities tyrimų kryptims, leidžiant izoliuoti ir fragmentuoti aukštos masės jonus, nenaudojant papildomų prietaiso modifikacijų.</w:t>
      </w:r>
    </w:p>
    <w:p w14:paraId="6B1D1BA3" w14:textId="77777777" w:rsidR="00B1065D" w:rsidRPr="00B1065D" w:rsidRDefault="00B1065D" w:rsidP="00B1065D">
      <w:pPr>
        <w:jc w:val="both"/>
        <w:rPr>
          <w:rFonts w:ascii="Times New Roman" w:hAnsi="Times New Roman" w:cs="Times New Roman"/>
          <w:b/>
          <w:bCs/>
        </w:rPr>
      </w:pPr>
      <w:r w:rsidRPr="00B1065D">
        <w:rPr>
          <w:rFonts w:ascii="Times New Roman" w:hAnsi="Times New Roman" w:cs="Times New Roman"/>
          <w:b/>
          <w:bCs/>
        </w:rPr>
        <w:t>3. DIA duomenų rinkimas visiškai netaikant išankstinio jonų izoliavimo filtro</w:t>
      </w:r>
    </w:p>
    <w:p w14:paraId="56BA2111" w14:textId="77777777" w:rsidR="00B1065D" w:rsidRPr="00B1065D" w:rsidRDefault="00B1065D" w:rsidP="00B1065D">
      <w:pPr>
        <w:numPr>
          <w:ilvl w:val="0"/>
          <w:numId w:val="3"/>
        </w:numPr>
        <w:jc w:val="both"/>
        <w:rPr>
          <w:rFonts w:ascii="Times New Roman" w:hAnsi="Times New Roman" w:cs="Times New Roman"/>
        </w:rPr>
      </w:pPr>
      <w:r w:rsidRPr="00B1065D">
        <w:rPr>
          <w:rFonts w:ascii="Times New Roman" w:hAnsi="Times New Roman" w:cs="Times New Roman"/>
          <w:b/>
          <w:bCs/>
        </w:rPr>
        <w:t>Mokslinė nauda:</w:t>
      </w:r>
      <w:r w:rsidRPr="00B1065D">
        <w:rPr>
          <w:rFonts w:ascii="Times New Roman" w:hAnsi="Times New Roman" w:cs="Times New Roman"/>
        </w:rPr>
        <w:t xml:space="preserve"> Klasikiniai DIA metodai (su masės langais) </w:t>
      </w:r>
      <w:proofErr w:type="spellStart"/>
      <w:r w:rsidRPr="00B1065D">
        <w:rPr>
          <w:rFonts w:ascii="Times New Roman" w:hAnsi="Times New Roman" w:cs="Times New Roman"/>
        </w:rPr>
        <w:t>fragmentuoja</w:t>
      </w:r>
      <w:proofErr w:type="spellEnd"/>
      <w:r w:rsidRPr="00B1065D">
        <w:rPr>
          <w:rFonts w:ascii="Times New Roman" w:hAnsi="Times New Roman" w:cs="Times New Roman"/>
        </w:rPr>
        <w:t xml:space="preserve"> jonus etapais, todėl dalis greitai </w:t>
      </w:r>
      <w:proofErr w:type="spellStart"/>
      <w:r w:rsidRPr="00B1065D">
        <w:rPr>
          <w:rFonts w:ascii="Times New Roman" w:hAnsi="Times New Roman" w:cs="Times New Roman"/>
        </w:rPr>
        <w:t>eliuuojančių</w:t>
      </w:r>
      <w:proofErr w:type="spellEnd"/>
      <w:r w:rsidRPr="00B1065D">
        <w:rPr>
          <w:rFonts w:ascii="Times New Roman" w:hAnsi="Times New Roman" w:cs="Times New Roman"/>
        </w:rPr>
        <w:t xml:space="preserve"> junginių informacijos prarandama. Duomenų rinkimas be filtro registruoja absoliučiai visų matricoje esančių jonų fragmentus vienu metu.</w:t>
      </w:r>
    </w:p>
    <w:p w14:paraId="3D9375E6" w14:textId="77777777" w:rsidR="00B1065D" w:rsidRPr="00B1065D" w:rsidRDefault="00B1065D" w:rsidP="00B1065D">
      <w:pPr>
        <w:numPr>
          <w:ilvl w:val="0"/>
          <w:numId w:val="3"/>
        </w:numPr>
        <w:jc w:val="both"/>
        <w:rPr>
          <w:rFonts w:ascii="Times New Roman" w:hAnsi="Times New Roman" w:cs="Times New Roman"/>
        </w:rPr>
      </w:pPr>
      <w:r w:rsidRPr="00B1065D">
        <w:rPr>
          <w:rFonts w:ascii="Times New Roman" w:hAnsi="Times New Roman" w:cs="Times New Roman"/>
          <w:b/>
          <w:bCs/>
        </w:rPr>
        <w:t>Praktinė nauda:</w:t>
      </w:r>
      <w:r w:rsidRPr="00B1065D">
        <w:rPr>
          <w:rFonts w:ascii="Times New Roman" w:hAnsi="Times New Roman" w:cs="Times New Roman"/>
        </w:rPr>
        <w:t xml:space="preserve"> Sukuriamas skaitmeninis mėginio archyvas. Po kelerių metų atsiradus poreikiui ieškoti naujų, anksčiau nežinomų teršalų ar metabolitų, tyrėjams nereikės iš naujo ruošti ir analizuoti mėginių – pakaks retrospektyviai peržiūrėti jau turimus 100 % pilnus spektrų duomenis.</w:t>
      </w:r>
    </w:p>
    <w:p w14:paraId="5D1EC189" w14:textId="77777777" w:rsidR="00B1065D" w:rsidRPr="00B1065D" w:rsidRDefault="00B1065D" w:rsidP="00B1065D">
      <w:pPr>
        <w:jc w:val="both"/>
        <w:rPr>
          <w:rFonts w:ascii="Times New Roman" w:hAnsi="Times New Roman" w:cs="Times New Roman"/>
          <w:b/>
          <w:bCs/>
        </w:rPr>
      </w:pPr>
      <w:r w:rsidRPr="00B1065D">
        <w:rPr>
          <w:rFonts w:ascii="Times New Roman" w:hAnsi="Times New Roman" w:cs="Times New Roman"/>
          <w:b/>
          <w:bCs/>
        </w:rPr>
        <w:t xml:space="preserve">4. API sąsajoje integruotas dedikuotas papildomas ESI purkštukas/kanalas </w:t>
      </w:r>
      <w:proofErr w:type="spellStart"/>
      <w:r w:rsidRPr="00B1065D">
        <w:rPr>
          <w:rFonts w:ascii="Times New Roman" w:hAnsi="Times New Roman" w:cs="Times New Roman"/>
          <w:b/>
          <w:bCs/>
        </w:rPr>
        <w:t>kalibratoriui</w:t>
      </w:r>
      <w:proofErr w:type="spellEnd"/>
    </w:p>
    <w:p w14:paraId="7FF37B75" w14:textId="77777777" w:rsidR="00B1065D" w:rsidRPr="00B1065D" w:rsidRDefault="00B1065D" w:rsidP="00B1065D">
      <w:pPr>
        <w:numPr>
          <w:ilvl w:val="0"/>
          <w:numId w:val="4"/>
        </w:numPr>
        <w:jc w:val="both"/>
        <w:rPr>
          <w:rFonts w:ascii="Times New Roman" w:hAnsi="Times New Roman" w:cs="Times New Roman"/>
        </w:rPr>
      </w:pPr>
      <w:r w:rsidRPr="00B1065D">
        <w:rPr>
          <w:rFonts w:ascii="Times New Roman" w:hAnsi="Times New Roman" w:cs="Times New Roman"/>
          <w:b/>
          <w:bCs/>
        </w:rPr>
        <w:t>Mokslinė nauda:</w:t>
      </w:r>
      <w:r w:rsidRPr="00B1065D">
        <w:rPr>
          <w:rFonts w:ascii="Times New Roman" w:hAnsi="Times New Roman" w:cs="Times New Roman"/>
        </w:rPr>
        <w:t xml:space="preserve"> Kalibravimo medžiagos purškimas į bendrą mėginio srautą sukelia jonų slopinimo reiškinį (</w:t>
      </w:r>
      <w:proofErr w:type="spellStart"/>
      <w:r w:rsidRPr="00B1065D">
        <w:rPr>
          <w:rFonts w:ascii="Times New Roman" w:hAnsi="Times New Roman" w:cs="Times New Roman"/>
          <w:i/>
          <w:iCs/>
        </w:rPr>
        <w:t>ion</w:t>
      </w:r>
      <w:proofErr w:type="spellEnd"/>
      <w:r w:rsidRPr="00B1065D">
        <w:rPr>
          <w:rFonts w:ascii="Times New Roman" w:hAnsi="Times New Roman" w:cs="Times New Roman"/>
          <w:i/>
          <w:iCs/>
        </w:rPr>
        <w:t xml:space="preserve"> </w:t>
      </w:r>
      <w:proofErr w:type="spellStart"/>
      <w:r w:rsidRPr="00B1065D">
        <w:rPr>
          <w:rFonts w:ascii="Times New Roman" w:hAnsi="Times New Roman" w:cs="Times New Roman"/>
          <w:i/>
          <w:iCs/>
        </w:rPr>
        <w:t>suppression</w:t>
      </w:r>
      <w:proofErr w:type="spellEnd"/>
      <w:r w:rsidRPr="00B1065D">
        <w:rPr>
          <w:rFonts w:ascii="Times New Roman" w:hAnsi="Times New Roman" w:cs="Times New Roman"/>
        </w:rPr>
        <w:t xml:space="preserve">), kai mėginio matrica „užgožia“ </w:t>
      </w:r>
      <w:proofErr w:type="spellStart"/>
      <w:r w:rsidRPr="00B1065D">
        <w:rPr>
          <w:rFonts w:ascii="Times New Roman" w:hAnsi="Times New Roman" w:cs="Times New Roman"/>
        </w:rPr>
        <w:t>kalibratorių</w:t>
      </w:r>
      <w:proofErr w:type="spellEnd"/>
      <w:r w:rsidRPr="00B1065D">
        <w:rPr>
          <w:rFonts w:ascii="Times New Roman" w:hAnsi="Times New Roman" w:cs="Times New Roman"/>
        </w:rPr>
        <w:t xml:space="preserve">, arba </w:t>
      </w:r>
      <w:proofErr w:type="spellStart"/>
      <w:r w:rsidRPr="00B1065D">
        <w:rPr>
          <w:rFonts w:ascii="Times New Roman" w:hAnsi="Times New Roman" w:cs="Times New Roman"/>
        </w:rPr>
        <w:t>kalibratorius</w:t>
      </w:r>
      <w:proofErr w:type="spellEnd"/>
      <w:r w:rsidRPr="00B1065D">
        <w:rPr>
          <w:rFonts w:ascii="Times New Roman" w:hAnsi="Times New Roman" w:cs="Times New Roman"/>
        </w:rPr>
        <w:t xml:space="preserve"> užmaskuoja analites. Atskiras fizinis kanalas visiškai izoliuoja šiuos du srautus.</w:t>
      </w:r>
    </w:p>
    <w:p w14:paraId="3AD43DC7" w14:textId="77777777" w:rsidR="00B1065D" w:rsidRPr="00B1065D" w:rsidRDefault="00B1065D" w:rsidP="00B1065D">
      <w:pPr>
        <w:numPr>
          <w:ilvl w:val="0"/>
          <w:numId w:val="4"/>
        </w:numPr>
        <w:jc w:val="both"/>
        <w:rPr>
          <w:rFonts w:ascii="Times New Roman" w:hAnsi="Times New Roman" w:cs="Times New Roman"/>
        </w:rPr>
      </w:pPr>
      <w:r w:rsidRPr="00B1065D">
        <w:rPr>
          <w:rFonts w:ascii="Times New Roman" w:hAnsi="Times New Roman" w:cs="Times New Roman"/>
          <w:b/>
          <w:bCs/>
        </w:rPr>
        <w:lastRenderedPageBreak/>
        <w:t>Praktinė nauda:</w:t>
      </w:r>
      <w:r w:rsidRPr="00B1065D">
        <w:rPr>
          <w:rFonts w:ascii="Times New Roman" w:hAnsi="Times New Roman" w:cs="Times New Roman"/>
        </w:rPr>
        <w:t xml:space="preserve"> </w:t>
      </w:r>
      <w:proofErr w:type="spellStart"/>
      <w:r w:rsidRPr="00B1065D">
        <w:rPr>
          <w:rFonts w:ascii="Times New Roman" w:hAnsi="Times New Roman" w:cs="Times New Roman"/>
        </w:rPr>
        <w:t>Kalibratoriaus</w:t>
      </w:r>
      <w:proofErr w:type="spellEnd"/>
      <w:r w:rsidRPr="00B1065D">
        <w:rPr>
          <w:rFonts w:ascii="Times New Roman" w:hAnsi="Times New Roman" w:cs="Times New Roman"/>
        </w:rPr>
        <w:t xml:space="preserve"> signalas išlieka stabilus nepriklausomai nuo to, kokio sudėtingumo ar nešvarumo mėginys yra analizuojamas. Galutinis masių spektras išlieka švarus nuo pašalinių </w:t>
      </w:r>
      <w:proofErr w:type="spellStart"/>
      <w:r w:rsidRPr="00B1065D">
        <w:rPr>
          <w:rFonts w:ascii="Times New Roman" w:hAnsi="Times New Roman" w:cs="Times New Roman"/>
        </w:rPr>
        <w:t>kalibratoriaus</w:t>
      </w:r>
      <w:proofErr w:type="spellEnd"/>
      <w:r w:rsidRPr="00B1065D">
        <w:rPr>
          <w:rFonts w:ascii="Times New Roman" w:hAnsi="Times New Roman" w:cs="Times New Roman"/>
        </w:rPr>
        <w:t xml:space="preserve"> smailių.</w:t>
      </w:r>
    </w:p>
    <w:p w14:paraId="7B52C1F2" w14:textId="77777777" w:rsidR="00B1065D" w:rsidRPr="00B1065D" w:rsidRDefault="00B1065D" w:rsidP="00B1065D">
      <w:pPr>
        <w:jc w:val="both"/>
        <w:rPr>
          <w:rFonts w:ascii="Times New Roman" w:hAnsi="Times New Roman" w:cs="Times New Roman"/>
          <w:b/>
          <w:bCs/>
        </w:rPr>
      </w:pPr>
      <w:r w:rsidRPr="00B1065D">
        <w:rPr>
          <w:rFonts w:ascii="Times New Roman" w:hAnsi="Times New Roman" w:cs="Times New Roman"/>
          <w:b/>
          <w:bCs/>
        </w:rPr>
        <w:t>5. TOF analizatorius su &gt; 5 atspindžiais ir pasyviu masių stabilumu</w:t>
      </w:r>
    </w:p>
    <w:p w14:paraId="30E76C22" w14:textId="77777777" w:rsidR="00B1065D" w:rsidRPr="00B1065D" w:rsidRDefault="00B1065D" w:rsidP="00B1065D">
      <w:pPr>
        <w:numPr>
          <w:ilvl w:val="0"/>
          <w:numId w:val="5"/>
        </w:numPr>
        <w:jc w:val="both"/>
        <w:rPr>
          <w:rFonts w:ascii="Times New Roman" w:hAnsi="Times New Roman" w:cs="Times New Roman"/>
        </w:rPr>
      </w:pPr>
      <w:r w:rsidRPr="00B1065D">
        <w:rPr>
          <w:rFonts w:ascii="Times New Roman" w:hAnsi="Times New Roman" w:cs="Times New Roman"/>
          <w:b/>
          <w:bCs/>
        </w:rPr>
        <w:t>Mokslinė nauda:</w:t>
      </w:r>
      <w:r w:rsidRPr="00B1065D">
        <w:rPr>
          <w:rFonts w:ascii="Times New Roman" w:hAnsi="Times New Roman" w:cs="Times New Roman"/>
        </w:rPr>
        <w:t xml:space="preserve"> Ilgesnis jonų skrydžio kelias tiesiogiai lemia didesnę rezoliuciją. Daugkartinis atspindys leidžia pasiekti ultra-aukštą rezoliuciją kompaktiškame stalinio prietaiso korpuse.</w:t>
      </w:r>
    </w:p>
    <w:p w14:paraId="392C1AB6" w14:textId="77777777" w:rsidR="00B1065D" w:rsidRPr="00B1065D" w:rsidRDefault="00B1065D" w:rsidP="00B1065D">
      <w:pPr>
        <w:numPr>
          <w:ilvl w:val="0"/>
          <w:numId w:val="5"/>
        </w:numPr>
        <w:jc w:val="both"/>
        <w:rPr>
          <w:rFonts w:ascii="Times New Roman" w:hAnsi="Times New Roman" w:cs="Times New Roman"/>
        </w:rPr>
      </w:pPr>
      <w:r w:rsidRPr="00B1065D">
        <w:rPr>
          <w:rFonts w:ascii="Times New Roman" w:hAnsi="Times New Roman" w:cs="Times New Roman"/>
          <w:b/>
          <w:bCs/>
        </w:rPr>
        <w:t>Praktinė nauda:</w:t>
      </w:r>
      <w:r w:rsidRPr="00B1065D">
        <w:rPr>
          <w:rFonts w:ascii="Times New Roman" w:hAnsi="Times New Roman" w:cs="Times New Roman"/>
        </w:rPr>
        <w:t xml:space="preserve"> Pasyvus (be išorinio aktyvaus šildymo/aušinimo) masių stabilumo palaikymas užtikrina, kad prietaisas nereaguos į laboratorijos oro kondicionieriaus sukeliamus temperatūros svyravimus. Tai garantuoja masių skalės stabilumą ilgose, kelias paras trunkančiose mėginių serijose.</w:t>
      </w:r>
    </w:p>
    <w:p w14:paraId="6C098118" w14:textId="77777777" w:rsidR="00B1065D" w:rsidRPr="00B1065D" w:rsidRDefault="00B1065D" w:rsidP="00B1065D">
      <w:pPr>
        <w:jc w:val="both"/>
        <w:rPr>
          <w:rFonts w:ascii="Times New Roman" w:hAnsi="Times New Roman" w:cs="Times New Roman"/>
          <w:b/>
          <w:bCs/>
        </w:rPr>
      </w:pPr>
      <w:r w:rsidRPr="00B1065D">
        <w:rPr>
          <w:rFonts w:ascii="Times New Roman" w:hAnsi="Times New Roman" w:cs="Times New Roman"/>
          <w:b/>
          <w:bCs/>
        </w:rPr>
        <w:t xml:space="preserve">6. API sąsaja ir optika be kapiliarų / </w:t>
      </w:r>
      <w:proofErr w:type="spellStart"/>
      <w:r w:rsidRPr="00B1065D">
        <w:rPr>
          <w:rFonts w:ascii="Times New Roman" w:hAnsi="Times New Roman" w:cs="Times New Roman"/>
          <w:b/>
          <w:bCs/>
        </w:rPr>
        <w:t>desolvacijos</w:t>
      </w:r>
      <w:proofErr w:type="spellEnd"/>
      <w:r w:rsidRPr="00B1065D">
        <w:rPr>
          <w:rFonts w:ascii="Times New Roman" w:hAnsi="Times New Roman" w:cs="Times New Roman"/>
          <w:b/>
          <w:bCs/>
        </w:rPr>
        <w:t xml:space="preserve"> linijų ir dviguba ortogonali geometrija</w:t>
      </w:r>
    </w:p>
    <w:p w14:paraId="43AA72C6" w14:textId="77777777" w:rsidR="00B1065D" w:rsidRPr="00B1065D" w:rsidRDefault="00B1065D" w:rsidP="00B1065D">
      <w:pPr>
        <w:numPr>
          <w:ilvl w:val="0"/>
          <w:numId w:val="6"/>
        </w:numPr>
        <w:jc w:val="both"/>
        <w:rPr>
          <w:rFonts w:ascii="Times New Roman" w:hAnsi="Times New Roman" w:cs="Times New Roman"/>
        </w:rPr>
      </w:pPr>
      <w:r w:rsidRPr="00B1065D">
        <w:rPr>
          <w:rFonts w:ascii="Times New Roman" w:hAnsi="Times New Roman" w:cs="Times New Roman"/>
          <w:b/>
          <w:bCs/>
        </w:rPr>
        <w:t>Mokslinė nauda:</w:t>
      </w:r>
      <w:r w:rsidRPr="00B1065D">
        <w:rPr>
          <w:rFonts w:ascii="Times New Roman" w:hAnsi="Times New Roman" w:cs="Times New Roman"/>
        </w:rPr>
        <w:t xml:space="preserve"> Jonų kapiliarai ar pernešimo linijos yra pagrindinės vietos, kuriose nusėda cheminių matricų likučiai, sukeldami atminties efektą (</w:t>
      </w:r>
      <w:proofErr w:type="spellStart"/>
      <w:r w:rsidRPr="00B1065D">
        <w:rPr>
          <w:rFonts w:ascii="Times New Roman" w:hAnsi="Times New Roman" w:cs="Times New Roman"/>
          <w:i/>
          <w:iCs/>
        </w:rPr>
        <w:t>carry-over</w:t>
      </w:r>
      <w:proofErr w:type="spellEnd"/>
      <w:r w:rsidRPr="00B1065D">
        <w:rPr>
          <w:rFonts w:ascii="Times New Roman" w:hAnsi="Times New Roman" w:cs="Times New Roman"/>
        </w:rPr>
        <w:t>) ir foninio triukšmo didėjimą. Dviguba ortogonali geometrija leidžia neutralioms (nejonizuotoms) matricos dalelėms pralėkti pro šalį, nepatenkant į analizatorių.</w:t>
      </w:r>
    </w:p>
    <w:p w14:paraId="7D01F5E9" w14:textId="77777777" w:rsidR="00B1065D" w:rsidRPr="00B1065D" w:rsidRDefault="00B1065D" w:rsidP="00B1065D">
      <w:pPr>
        <w:numPr>
          <w:ilvl w:val="0"/>
          <w:numId w:val="6"/>
        </w:numPr>
        <w:jc w:val="both"/>
        <w:rPr>
          <w:rFonts w:ascii="Times New Roman" w:hAnsi="Times New Roman" w:cs="Times New Roman"/>
        </w:rPr>
      </w:pPr>
      <w:r w:rsidRPr="00B1065D">
        <w:rPr>
          <w:rFonts w:ascii="Times New Roman" w:hAnsi="Times New Roman" w:cs="Times New Roman"/>
          <w:b/>
          <w:bCs/>
        </w:rPr>
        <w:t>Praktinė nauda:</w:t>
      </w:r>
      <w:r w:rsidRPr="00B1065D">
        <w:rPr>
          <w:rFonts w:ascii="Times New Roman" w:hAnsi="Times New Roman" w:cs="Times New Roman"/>
        </w:rPr>
        <w:t xml:space="preserve"> Drastiškai sumažėja prietaiso jautrumo kritimas analizuojant „purvinus“ aplinkosaugos ar biologinius mėginius, užtikrinamas geresnis signalo/triukšmo santykis mažų koncentracijų tyrimuose.</w:t>
      </w:r>
    </w:p>
    <w:p w14:paraId="4F43DFA2" w14:textId="77777777" w:rsidR="00B1065D" w:rsidRPr="00B1065D" w:rsidRDefault="00B1065D" w:rsidP="00B1065D">
      <w:pPr>
        <w:jc w:val="both"/>
        <w:rPr>
          <w:rFonts w:ascii="Times New Roman" w:hAnsi="Times New Roman" w:cs="Times New Roman"/>
          <w:b/>
          <w:bCs/>
        </w:rPr>
      </w:pPr>
      <w:r w:rsidRPr="00B1065D">
        <w:rPr>
          <w:rFonts w:ascii="Times New Roman" w:hAnsi="Times New Roman" w:cs="Times New Roman"/>
          <w:b/>
          <w:bCs/>
        </w:rPr>
        <w:t>7. Vakuumo izoliacinis vožtuvas šaltinio elementų valymui</w:t>
      </w:r>
    </w:p>
    <w:p w14:paraId="79E72A95" w14:textId="77777777" w:rsidR="00B1065D" w:rsidRPr="00B1065D" w:rsidRDefault="00B1065D" w:rsidP="00B1065D">
      <w:pPr>
        <w:numPr>
          <w:ilvl w:val="0"/>
          <w:numId w:val="7"/>
        </w:numPr>
        <w:jc w:val="both"/>
        <w:rPr>
          <w:rFonts w:ascii="Times New Roman" w:hAnsi="Times New Roman" w:cs="Times New Roman"/>
        </w:rPr>
      </w:pPr>
      <w:r w:rsidRPr="00B1065D">
        <w:rPr>
          <w:rFonts w:ascii="Times New Roman" w:hAnsi="Times New Roman" w:cs="Times New Roman"/>
          <w:b/>
          <w:bCs/>
        </w:rPr>
        <w:t>Mokslinė nauda:</w:t>
      </w:r>
      <w:r w:rsidRPr="00B1065D">
        <w:rPr>
          <w:rFonts w:ascii="Times New Roman" w:hAnsi="Times New Roman" w:cs="Times New Roman"/>
        </w:rPr>
        <w:t xml:space="preserve"> Kiekvienas vakuumo sistemos stabdymas ir iš naujo paleidimas sukelia </w:t>
      </w:r>
      <w:proofErr w:type="spellStart"/>
      <w:r w:rsidRPr="00B1065D">
        <w:rPr>
          <w:rFonts w:ascii="Times New Roman" w:hAnsi="Times New Roman" w:cs="Times New Roman"/>
        </w:rPr>
        <w:t>termomechaninį</w:t>
      </w:r>
      <w:proofErr w:type="spellEnd"/>
      <w:r w:rsidRPr="00B1065D">
        <w:rPr>
          <w:rFonts w:ascii="Times New Roman" w:hAnsi="Times New Roman" w:cs="Times New Roman"/>
        </w:rPr>
        <w:t xml:space="preserve"> stresą masių detektoriaus optikai bei detektoriams, o tai laikinai suprastina masių tikslumą ir jautrumą.</w:t>
      </w:r>
    </w:p>
    <w:p w14:paraId="34598313" w14:textId="77777777" w:rsidR="00B1065D" w:rsidRPr="00B1065D" w:rsidRDefault="00B1065D" w:rsidP="00B1065D">
      <w:pPr>
        <w:numPr>
          <w:ilvl w:val="0"/>
          <w:numId w:val="7"/>
        </w:numPr>
        <w:jc w:val="both"/>
        <w:rPr>
          <w:rFonts w:ascii="Times New Roman" w:hAnsi="Times New Roman" w:cs="Times New Roman"/>
        </w:rPr>
      </w:pPr>
      <w:r w:rsidRPr="00B1065D">
        <w:rPr>
          <w:rFonts w:ascii="Times New Roman" w:hAnsi="Times New Roman" w:cs="Times New Roman"/>
          <w:b/>
          <w:bCs/>
        </w:rPr>
        <w:t>Praktinė nauda:</w:t>
      </w:r>
      <w:r w:rsidRPr="00B1065D">
        <w:rPr>
          <w:rFonts w:ascii="Times New Roman" w:hAnsi="Times New Roman" w:cs="Times New Roman"/>
        </w:rPr>
        <w:t xml:space="preserve"> Naudingo darbo laiko maksimizavimas. Tyrėjas gali išimti ir nuvalyti pirmuosius šaltinio elementus bei </w:t>
      </w:r>
      <w:proofErr w:type="spellStart"/>
      <w:r w:rsidRPr="00B1065D">
        <w:rPr>
          <w:rFonts w:ascii="Times New Roman" w:hAnsi="Times New Roman" w:cs="Times New Roman"/>
        </w:rPr>
        <w:t>desolvacijos</w:t>
      </w:r>
      <w:proofErr w:type="spellEnd"/>
      <w:r w:rsidRPr="00B1065D">
        <w:rPr>
          <w:rFonts w:ascii="Times New Roman" w:hAnsi="Times New Roman" w:cs="Times New Roman"/>
        </w:rPr>
        <w:t xml:space="preserve"> kūgį per 10–15 minučių, nepažeisdamas giliojo analizatoriaus vakuumo. Prietaisas iškart po valymo yra paruoštas darbui, išvengiant 24–48 valandų laukimo, kol sistema vėl išsipumpuos ir stabilizuosis.</w:t>
      </w:r>
    </w:p>
    <w:p w14:paraId="69064DEF" w14:textId="77777777" w:rsidR="00B1065D" w:rsidRPr="00B1065D" w:rsidRDefault="00B1065D" w:rsidP="00B1065D">
      <w:pPr>
        <w:jc w:val="both"/>
        <w:rPr>
          <w:rFonts w:ascii="Times New Roman" w:hAnsi="Times New Roman" w:cs="Times New Roman"/>
          <w:b/>
          <w:bCs/>
        </w:rPr>
      </w:pPr>
      <w:r w:rsidRPr="00B1065D">
        <w:rPr>
          <w:rFonts w:ascii="Times New Roman" w:hAnsi="Times New Roman" w:cs="Times New Roman"/>
          <w:b/>
          <w:bCs/>
        </w:rPr>
        <w:t>8. UHPLC užlaikymo tūriai</w:t>
      </w:r>
    </w:p>
    <w:p w14:paraId="31E8C874" w14:textId="77777777" w:rsidR="00B1065D" w:rsidRPr="00B1065D" w:rsidRDefault="00B1065D" w:rsidP="00B1065D">
      <w:pPr>
        <w:numPr>
          <w:ilvl w:val="0"/>
          <w:numId w:val="8"/>
        </w:numPr>
        <w:jc w:val="both"/>
        <w:rPr>
          <w:rFonts w:ascii="Times New Roman" w:hAnsi="Times New Roman" w:cs="Times New Roman"/>
        </w:rPr>
      </w:pPr>
      <w:r w:rsidRPr="00B1065D">
        <w:rPr>
          <w:rFonts w:ascii="Times New Roman" w:hAnsi="Times New Roman" w:cs="Times New Roman"/>
          <w:b/>
          <w:bCs/>
        </w:rPr>
        <w:t>Mokslinė nauda:</w:t>
      </w:r>
      <w:r w:rsidRPr="00B1065D">
        <w:rPr>
          <w:rFonts w:ascii="Times New Roman" w:hAnsi="Times New Roman" w:cs="Times New Roman"/>
        </w:rPr>
        <w:t xml:space="preserve"> Maži užlaikymo ir zonos išsiplėtimo tūriai apsaugo </w:t>
      </w:r>
      <w:proofErr w:type="spellStart"/>
      <w:r w:rsidRPr="00B1065D">
        <w:rPr>
          <w:rFonts w:ascii="Times New Roman" w:hAnsi="Times New Roman" w:cs="Times New Roman"/>
        </w:rPr>
        <w:t>chromatografines</w:t>
      </w:r>
      <w:proofErr w:type="spellEnd"/>
      <w:r w:rsidRPr="00B1065D">
        <w:rPr>
          <w:rFonts w:ascii="Times New Roman" w:hAnsi="Times New Roman" w:cs="Times New Roman"/>
        </w:rPr>
        <w:t xml:space="preserve"> smailes nuo difuzinio išsiplėtimo. Tai užtikrina maksimalų smailės aštrumą (aukštį) ir geresnį </w:t>
      </w:r>
      <w:proofErr w:type="spellStart"/>
      <w:r w:rsidRPr="00B1065D">
        <w:rPr>
          <w:rFonts w:ascii="Times New Roman" w:hAnsi="Times New Roman" w:cs="Times New Roman"/>
        </w:rPr>
        <w:t>chromatografinį</w:t>
      </w:r>
      <w:proofErr w:type="spellEnd"/>
      <w:r w:rsidRPr="00B1065D">
        <w:rPr>
          <w:rFonts w:ascii="Times New Roman" w:hAnsi="Times New Roman" w:cs="Times New Roman"/>
        </w:rPr>
        <w:t xml:space="preserve"> masių atskyrimą.</w:t>
      </w:r>
    </w:p>
    <w:p w14:paraId="4A5EE2EE" w14:textId="77777777" w:rsidR="00B1065D" w:rsidRPr="00B1065D" w:rsidRDefault="00B1065D" w:rsidP="00B1065D">
      <w:pPr>
        <w:numPr>
          <w:ilvl w:val="0"/>
          <w:numId w:val="8"/>
        </w:numPr>
        <w:jc w:val="both"/>
        <w:rPr>
          <w:rFonts w:ascii="Times New Roman" w:hAnsi="Times New Roman" w:cs="Times New Roman"/>
        </w:rPr>
      </w:pPr>
      <w:r w:rsidRPr="00B1065D">
        <w:rPr>
          <w:rFonts w:ascii="Times New Roman" w:hAnsi="Times New Roman" w:cs="Times New Roman"/>
          <w:b/>
          <w:bCs/>
        </w:rPr>
        <w:t>Praktinė nauda:</w:t>
      </w:r>
      <w:r w:rsidRPr="00B1065D">
        <w:rPr>
          <w:rFonts w:ascii="Times New Roman" w:hAnsi="Times New Roman" w:cs="Times New Roman"/>
        </w:rPr>
        <w:t xml:space="preserve"> Mažesni užlaikymo tūriai leidžia suformuoti itin greitus gradientus, sutrumpinant vieno mėgino analizės laiką nuo 30 iki 10 minučių. Tai tiesiogiai taupo brangius </w:t>
      </w:r>
      <w:proofErr w:type="spellStart"/>
      <w:r w:rsidRPr="00B1065D">
        <w:rPr>
          <w:rFonts w:ascii="Times New Roman" w:hAnsi="Times New Roman" w:cs="Times New Roman"/>
        </w:rPr>
        <w:t>eliuentus</w:t>
      </w:r>
      <w:proofErr w:type="spellEnd"/>
      <w:r w:rsidRPr="00B1065D">
        <w:rPr>
          <w:rFonts w:ascii="Times New Roman" w:hAnsi="Times New Roman" w:cs="Times New Roman"/>
        </w:rPr>
        <w:t xml:space="preserve"> ir didina laboratorijos pralaidumą.</w:t>
      </w:r>
    </w:p>
    <w:p w14:paraId="3534A7AB" w14:textId="77777777" w:rsidR="00B1065D" w:rsidRPr="00B1065D" w:rsidRDefault="00B1065D" w:rsidP="00B1065D">
      <w:pPr>
        <w:jc w:val="both"/>
        <w:rPr>
          <w:rFonts w:ascii="Times New Roman" w:hAnsi="Times New Roman" w:cs="Times New Roman"/>
          <w:b/>
          <w:bCs/>
        </w:rPr>
      </w:pPr>
      <w:r w:rsidRPr="00B1065D">
        <w:rPr>
          <w:rFonts w:ascii="Times New Roman" w:hAnsi="Times New Roman" w:cs="Times New Roman"/>
          <w:b/>
          <w:bCs/>
        </w:rPr>
        <w:lastRenderedPageBreak/>
        <w:t>9. Kolonėlių termostato darbinis intervalas nuo</w:t>
      </w:r>
    </w:p>
    <w:p w14:paraId="4011117B" w14:textId="77777777" w:rsidR="00B1065D" w:rsidRPr="00B1065D" w:rsidRDefault="00B1065D" w:rsidP="00B1065D">
      <w:pPr>
        <w:numPr>
          <w:ilvl w:val="0"/>
          <w:numId w:val="9"/>
        </w:numPr>
        <w:jc w:val="both"/>
        <w:rPr>
          <w:rFonts w:ascii="Times New Roman" w:hAnsi="Times New Roman" w:cs="Times New Roman"/>
        </w:rPr>
      </w:pPr>
      <w:r w:rsidRPr="00B1065D">
        <w:rPr>
          <w:rFonts w:ascii="Times New Roman" w:hAnsi="Times New Roman" w:cs="Times New Roman"/>
          <w:b/>
          <w:bCs/>
        </w:rPr>
        <w:t>Mokslinė nauda:</w:t>
      </w:r>
      <w:r w:rsidRPr="00B1065D">
        <w:rPr>
          <w:rFonts w:ascii="Times New Roman" w:hAnsi="Times New Roman" w:cs="Times New Roman"/>
        </w:rPr>
        <w:t xml:space="preserve"> Tam tikrų nestabilių </w:t>
      </w:r>
      <w:proofErr w:type="spellStart"/>
      <w:r w:rsidRPr="00B1065D">
        <w:rPr>
          <w:rFonts w:ascii="Times New Roman" w:hAnsi="Times New Roman" w:cs="Times New Roman"/>
        </w:rPr>
        <w:t>biomolekulių</w:t>
      </w:r>
      <w:proofErr w:type="spellEnd"/>
      <w:r w:rsidRPr="00B1065D">
        <w:rPr>
          <w:rFonts w:ascii="Times New Roman" w:hAnsi="Times New Roman" w:cs="Times New Roman"/>
        </w:rPr>
        <w:t xml:space="preserve"> (pvz., kai kurių baltymų, metabolitų ar temperatūrai jautrių junginių) </w:t>
      </w:r>
      <w:proofErr w:type="spellStart"/>
      <w:r w:rsidRPr="00B1065D">
        <w:rPr>
          <w:rFonts w:ascii="Times New Roman" w:hAnsi="Times New Roman" w:cs="Times New Roman"/>
        </w:rPr>
        <w:t>chromatografinis</w:t>
      </w:r>
      <w:proofErr w:type="spellEnd"/>
      <w:r w:rsidRPr="00B1065D">
        <w:rPr>
          <w:rFonts w:ascii="Times New Roman" w:hAnsi="Times New Roman" w:cs="Times New Roman"/>
        </w:rPr>
        <w:t xml:space="preserve"> atskyrimas turi vykti žemoje temperatūroje, kad būtų išvengta jų degradacijos tiesiai ant kolonėlės. Tuo tarpu klampių ar polimerinių junginių analizei reikalinga aukšta temperatūra, mažinanti </w:t>
      </w:r>
      <w:proofErr w:type="spellStart"/>
      <w:r w:rsidRPr="00B1065D">
        <w:rPr>
          <w:rFonts w:ascii="Times New Roman" w:hAnsi="Times New Roman" w:cs="Times New Roman"/>
        </w:rPr>
        <w:t>eliuento</w:t>
      </w:r>
      <w:proofErr w:type="spellEnd"/>
      <w:r w:rsidRPr="00B1065D">
        <w:rPr>
          <w:rFonts w:ascii="Times New Roman" w:hAnsi="Times New Roman" w:cs="Times New Roman"/>
        </w:rPr>
        <w:t xml:space="preserve"> klampumą.</w:t>
      </w:r>
    </w:p>
    <w:p w14:paraId="69D864A9" w14:textId="77777777" w:rsidR="00B1065D" w:rsidRPr="00B1065D" w:rsidRDefault="00B1065D" w:rsidP="00B1065D">
      <w:pPr>
        <w:numPr>
          <w:ilvl w:val="0"/>
          <w:numId w:val="9"/>
        </w:numPr>
        <w:jc w:val="both"/>
        <w:rPr>
          <w:rFonts w:ascii="Times New Roman" w:hAnsi="Times New Roman" w:cs="Times New Roman"/>
        </w:rPr>
      </w:pPr>
      <w:r w:rsidRPr="00B1065D">
        <w:rPr>
          <w:rFonts w:ascii="Times New Roman" w:hAnsi="Times New Roman" w:cs="Times New Roman"/>
          <w:b/>
          <w:bCs/>
        </w:rPr>
        <w:t>Praktinė nauda:</w:t>
      </w:r>
      <w:r w:rsidRPr="00B1065D">
        <w:rPr>
          <w:rFonts w:ascii="Times New Roman" w:hAnsi="Times New Roman" w:cs="Times New Roman"/>
        </w:rPr>
        <w:t xml:space="preserve"> Užtikrinamas visiškas metodų lankstumas – laboratorija gali vienodai efektyviai vykdyti tiek žemos temperatūros </w:t>
      </w:r>
      <w:proofErr w:type="spellStart"/>
      <w:r w:rsidRPr="00B1065D">
        <w:rPr>
          <w:rFonts w:ascii="Times New Roman" w:hAnsi="Times New Roman" w:cs="Times New Roman"/>
        </w:rPr>
        <w:t>biomolekulių</w:t>
      </w:r>
      <w:proofErr w:type="spellEnd"/>
      <w:r w:rsidRPr="00B1065D">
        <w:rPr>
          <w:rFonts w:ascii="Times New Roman" w:hAnsi="Times New Roman" w:cs="Times New Roman"/>
        </w:rPr>
        <w:t xml:space="preserve"> tyrimus, tiek aukštos temperatūros polimerų ar PFAS analizes.</w:t>
      </w:r>
    </w:p>
    <w:p w14:paraId="2D9AA474" w14:textId="77777777" w:rsidR="00B1065D" w:rsidRPr="00B1065D" w:rsidRDefault="00B1065D" w:rsidP="00B1065D">
      <w:pPr>
        <w:jc w:val="both"/>
        <w:rPr>
          <w:rFonts w:ascii="Times New Roman" w:hAnsi="Times New Roman" w:cs="Times New Roman"/>
          <w:b/>
          <w:bCs/>
        </w:rPr>
      </w:pPr>
      <w:r w:rsidRPr="00B1065D">
        <w:rPr>
          <w:rFonts w:ascii="Times New Roman" w:hAnsi="Times New Roman" w:cs="Times New Roman"/>
          <w:b/>
          <w:bCs/>
        </w:rPr>
        <w:t xml:space="preserve">10. Programinė įranga pagrįsta </w:t>
      </w:r>
      <w:proofErr w:type="spellStart"/>
      <w:r w:rsidRPr="00B1065D">
        <w:rPr>
          <w:rFonts w:ascii="Times New Roman" w:hAnsi="Times New Roman" w:cs="Times New Roman"/>
          <w:b/>
          <w:bCs/>
        </w:rPr>
        <w:t>sąryšinių</w:t>
      </w:r>
      <w:proofErr w:type="spellEnd"/>
      <w:r w:rsidRPr="00B1065D">
        <w:rPr>
          <w:rFonts w:ascii="Times New Roman" w:hAnsi="Times New Roman" w:cs="Times New Roman"/>
          <w:b/>
          <w:bCs/>
        </w:rPr>
        <w:t xml:space="preserve"> duomenų bazių sistema</w:t>
      </w:r>
    </w:p>
    <w:p w14:paraId="20A3AFB0" w14:textId="77777777" w:rsidR="00B1065D" w:rsidRPr="00B1065D" w:rsidRDefault="00B1065D" w:rsidP="00B1065D">
      <w:pPr>
        <w:numPr>
          <w:ilvl w:val="0"/>
          <w:numId w:val="10"/>
        </w:numPr>
        <w:jc w:val="both"/>
        <w:rPr>
          <w:rFonts w:ascii="Times New Roman" w:hAnsi="Times New Roman" w:cs="Times New Roman"/>
        </w:rPr>
      </w:pPr>
      <w:r w:rsidRPr="00B1065D">
        <w:rPr>
          <w:rFonts w:ascii="Times New Roman" w:hAnsi="Times New Roman" w:cs="Times New Roman"/>
          <w:b/>
          <w:bCs/>
        </w:rPr>
        <w:t>Mokslinė nauda:</w:t>
      </w:r>
      <w:r w:rsidRPr="00B1065D">
        <w:rPr>
          <w:rFonts w:ascii="Times New Roman" w:hAnsi="Times New Roman" w:cs="Times New Roman"/>
        </w:rPr>
        <w:t xml:space="preserve"> Tyrimų duomenų vientisumas (</w:t>
      </w:r>
      <w:r w:rsidRPr="00B1065D">
        <w:rPr>
          <w:rFonts w:ascii="Times New Roman" w:hAnsi="Times New Roman" w:cs="Times New Roman"/>
          <w:i/>
          <w:iCs/>
        </w:rPr>
        <w:t xml:space="preserve">Data </w:t>
      </w:r>
      <w:proofErr w:type="spellStart"/>
      <w:r w:rsidRPr="00B1065D">
        <w:rPr>
          <w:rFonts w:ascii="Times New Roman" w:hAnsi="Times New Roman" w:cs="Times New Roman"/>
          <w:i/>
          <w:iCs/>
        </w:rPr>
        <w:t>Integrity</w:t>
      </w:r>
      <w:proofErr w:type="spellEnd"/>
      <w:r w:rsidRPr="00B1065D">
        <w:rPr>
          <w:rFonts w:ascii="Times New Roman" w:hAnsi="Times New Roman" w:cs="Times New Roman"/>
        </w:rPr>
        <w:t xml:space="preserve">). Tradiciniai Windows failai gali būti netyčia ištrinti, pervadinti ar modifikuoti, o tai pažeidžia informacijos atsekamumą. </w:t>
      </w:r>
      <w:proofErr w:type="spellStart"/>
      <w:r w:rsidRPr="00B1065D">
        <w:rPr>
          <w:rFonts w:ascii="Times New Roman" w:hAnsi="Times New Roman" w:cs="Times New Roman"/>
        </w:rPr>
        <w:t>Sąryšinė</w:t>
      </w:r>
      <w:proofErr w:type="spellEnd"/>
      <w:r w:rsidRPr="00B1065D">
        <w:rPr>
          <w:rFonts w:ascii="Times New Roman" w:hAnsi="Times New Roman" w:cs="Times New Roman"/>
        </w:rPr>
        <w:t xml:space="preserve"> duomenų bazė užtikrina, kad kiekvienas analizės pirminė informacija (</w:t>
      </w:r>
      <w:proofErr w:type="spellStart"/>
      <w:r w:rsidRPr="00B1065D">
        <w:rPr>
          <w:rFonts w:ascii="Times New Roman" w:hAnsi="Times New Roman" w:cs="Times New Roman"/>
          <w:i/>
          <w:iCs/>
        </w:rPr>
        <w:t>raw</w:t>
      </w:r>
      <w:proofErr w:type="spellEnd"/>
      <w:r w:rsidRPr="00B1065D">
        <w:rPr>
          <w:rFonts w:ascii="Times New Roman" w:hAnsi="Times New Roman" w:cs="Times New Roman"/>
          <w:i/>
          <w:iCs/>
        </w:rPr>
        <w:t xml:space="preserve"> data</w:t>
      </w:r>
      <w:r w:rsidRPr="00B1065D">
        <w:rPr>
          <w:rFonts w:ascii="Times New Roman" w:hAnsi="Times New Roman" w:cs="Times New Roman"/>
        </w:rPr>
        <w:t>) yra neatsiejamai susieta su metaduomenimis ir audito seka (</w:t>
      </w:r>
      <w:proofErr w:type="spellStart"/>
      <w:r w:rsidRPr="00B1065D">
        <w:rPr>
          <w:rFonts w:ascii="Times New Roman" w:hAnsi="Times New Roman" w:cs="Times New Roman"/>
          <w:i/>
          <w:iCs/>
        </w:rPr>
        <w:t>Audit</w:t>
      </w:r>
      <w:proofErr w:type="spellEnd"/>
      <w:r w:rsidRPr="00B1065D">
        <w:rPr>
          <w:rFonts w:ascii="Times New Roman" w:hAnsi="Times New Roman" w:cs="Times New Roman"/>
          <w:i/>
          <w:iCs/>
        </w:rPr>
        <w:t xml:space="preserve"> </w:t>
      </w:r>
      <w:proofErr w:type="spellStart"/>
      <w:r w:rsidRPr="00B1065D">
        <w:rPr>
          <w:rFonts w:ascii="Times New Roman" w:hAnsi="Times New Roman" w:cs="Times New Roman"/>
          <w:i/>
          <w:iCs/>
        </w:rPr>
        <w:t>Trail</w:t>
      </w:r>
      <w:proofErr w:type="spellEnd"/>
      <w:r w:rsidRPr="00B1065D">
        <w:rPr>
          <w:rFonts w:ascii="Times New Roman" w:hAnsi="Times New Roman" w:cs="Times New Roman"/>
        </w:rPr>
        <w:t>).</w:t>
      </w:r>
    </w:p>
    <w:p w14:paraId="4297B998" w14:textId="77777777" w:rsidR="00B1065D" w:rsidRPr="00B1065D" w:rsidRDefault="00B1065D" w:rsidP="00B1065D">
      <w:pPr>
        <w:numPr>
          <w:ilvl w:val="0"/>
          <w:numId w:val="10"/>
        </w:numPr>
        <w:jc w:val="both"/>
        <w:rPr>
          <w:rFonts w:ascii="Times New Roman" w:hAnsi="Times New Roman" w:cs="Times New Roman"/>
        </w:rPr>
      </w:pPr>
      <w:r w:rsidRPr="00B1065D">
        <w:rPr>
          <w:rFonts w:ascii="Times New Roman" w:hAnsi="Times New Roman" w:cs="Times New Roman"/>
          <w:b/>
          <w:bCs/>
        </w:rPr>
        <w:t>Praktinė nauda:</w:t>
      </w:r>
      <w:r w:rsidRPr="00B1065D">
        <w:rPr>
          <w:rFonts w:ascii="Times New Roman" w:hAnsi="Times New Roman" w:cs="Times New Roman"/>
        </w:rPr>
        <w:t xml:space="preserve"> Supaprastintas didelių duomenų masyvų valdymas, centralizuotas atsarginių kopijų darymas ir greita paieška pagal projektus ar mėginių serijas, eliminuojant riziką prarasti unikalius tyrimų rezultatus.</w:t>
      </w:r>
    </w:p>
    <w:p w14:paraId="51B7E112" w14:textId="77777777" w:rsidR="00B1065D" w:rsidRPr="00B1065D" w:rsidRDefault="00B1065D" w:rsidP="00B1065D">
      <w:pPr>
        <w:jc w:val="both"/>
        <w:rPr>
          <w:rFonts w:ascii="Times New Roman" w:hAnsi="Times New Roman" w:cs="Times New Roman"/>
          <w:b/>
          <w:bCs/>
        </w:rPr>
      </w:pPr>
      <w:r w:rsidRPr="00B1065D">
        <w:rPr>
          <w:rFonts w:ascii="Times New Roman" w:hAnsi="Times New Roman" w:cs="Times New Roman"/>
          <w:b/>
          <w:bCs/>
        </w:rPr>
        <w:t>11. Bendros sistemos el. sąnaudos</w:t>
      </w:r>
    </w:p>
    <w:p w14:paraId="16425C1D" w14:textId="77777777" w:rsidR="00B1065D" w:rsidRPr="00B1065D" w:rsidRDefault="00B1065D" w:rsidP="00B1065D">
      <w:pPr>
        <w:numPr>
          <w:ilvl w:val="0"/>
          <w:numId w:val="11"/>
        </w:numPr>
        <w:jc w:val="both"/>
        <w:rPr>
          <w:rFonts w:ascii="Times New Roman" w:hAnsi="Times New Roman" w:cs="Times New Roman"/>
        </w:rPr>
      </w:pPr>
      <w:r w:rsidRPr="00B1065D">
        <w:rPr>
          <w:rFonts w:ascii="Times New Roman" w:hAnsi="Times New Roman" w:cs="Times New Roman"/>
          <w:b/>
          <w:bCs/>
        </w:rPr>
        <w:t>Mokslinė / Ekologinė nauda:</w:t>
      </w:r>
      <w:r w:rsidRPr="00B1065D">
        <w:rPr>
          <w:rFonts w:ascii="Times New Roman" w:hAnsi="Times New Roman" w:cs="Times New Roman"/>
        </w:rPr>
        <w:t xml:space="preserve"> Mažesnis prietaiso generuojamos šilumos kiekis laboratorijoje. Didelės galios masių spektrometrai stipriai kaitina aplinką, o tai sukelia vietinius temperatūros svyravimus, neigiamai veikiančius kitą jautrią laboratorijos įrangą.</w:t>
      </w:r>
    </w:p>
    <w:p w14:paraId="0AD47F95" w14:textId="77777777" w:rsidR="00B1065D" w:rsidRPr="00B1065D" w:rsidRDefault="00B1065D" w:rsidP="00B1065D">
      <w:pPr>
        <w:numPr>
          <w:ilvl w:val="0"/>
          <w:numId w:val="11"/>
        </w:numPr>
        <w:jc w:val="both"/>
        <w:rPr>
          <w:rFonts w:ascii="Times New Roman" w:hAnsi="Times New Roman" w:cs="Times New Roman"/>
        </w:rPr>
      </w:pPr>
      <w:r w:rsidRPr="00B1065D">
        <w:rPr>
          <w:rFonts w:ascii="Times New Roman" w:hAnsi="Times New Roman" w:cs="Times New Roman"/>
          <w:b/>
          <w:bCs/>
        </w:rPr>
        <w:t>Praktinė nauda:</w:t>
      </w:r>
      <w:r w:rsidRPr="00B1065D">
        <w:rPr>
          <w:rFonts w:ascii="Times New Roman" w:hAnsi="Times New Roman" w:cs="Times New Roman"/>
        </w:rPr>
        <w:t xml:space="preserve"> Tiesioginis operacinių išlaidų taupymas. Mažesnės elektros sąnaudos ir sumažėjęs poreikis laboratorijos vėdinimo / kondicionavimo sistemų intensyvumui užtikrina mažesnę pastato infrastruktūros apkrovą ir mažesnes sąskaitas už elektrą ilgalaikėje perspektyvoje.</w:t>
      </w:r>
    </w:p>
    <w:p w14:paraId="152F2FB4" w14:textId="77777777" w:rsidR="00B1065D" w:rsidRPr="00B1065D" w:rsidRDefault="00B1065D" w:rsidP="00B1065D">
      <w:pPr>
        <w:jc w:val="both"/>
        <w:rPr>
          <w:rFonts w:ascii="Times New Roman" w:hAnsi="Times New Roman" w:cs="Times New Roman"/>
          <w:b/>
          <w:bCs/>
        </w:rPr>
      </w:pPr>
      <w:r w:rsidRPr="00B1065D">
        <w:rPr>
          <w:rFonts w:ascii="Times New Roman" w:hAnsi="Times New Roman" w:cs="Times New Roman"/>
          <w:b/>
          <w:bCs/>
        </w:rPr>
        <w:t>12. Maksimalios azoto dujų sąnaudos</w:t>
      </w:r>
    </w:p>
    <w:p w14:paraId="4E45C530" w14:textId="77777777" w:rsidR="00B1065D" w:rsidRPr="00B1065D" w:rsidRDefault="00B1065D" w:rsidP="00B1065D">
      <w:pPr>
        <w:numPr>
          <w:ilvl w:val="0"/>
          <w:numId w:val="12"/>
        </w:numPr>
        <w:jc w:val="both"/>
        <w:rPr>
          <w:rFonts w:ascii="Times New Roman" w:hAnsi="Times New Roman" w:cs="Times New Roman"/>
        </w:rPr>
      </w:pPr>
      <w:r w:rsidRPr="00B1065D">
        <w:rPr>
          <w:rFonts w:ascii="Times New Roman" w:hAnsi="Times New Roman" w:cs="Times New Roman"/>
          <w:b/>
          <w:bCs/>
        </w:rPr>
        <w:t>Mokslinė nauda:</w:t>
      </w:r>
      <w:r w:rsidRPr="00B1065D">
        <w:rPr>
          <w:rFonts w:ascii="Times New Roman" w:hAnsi="Times New Roman" w:cs="Times New Roman"/>
        </w:rPr>
        <w:t xml:space="preserve"> Mažesnis azoto srautas šaltinyje rodo aukštą </w:t>
      </w:r>
      <w:proofErr w:type="spellStart"/>
      <w:r w:rsidRPr="00B1065D">
        <w:rPr>
          <w:rFonts w:ascii="Times New Roman" w:hAnsi="Times New Roman" w:cs="Times New Roman"/>
        </w:rPr>
        <w:t>desolvacijos</w:t>
      </w:r>
      <w:proofErr w:type="spellEnd"/>
      <w:r w:rsidRPr="00B1065D">
        <w:rPr>
          <w:rFonts w:ascii="Times New Roman" w:hAnsi="Times New Roman" w:cs="Times New Roman"/>
        </w:rPr>
        <w:t xml:space="preserve"> (tirpiklio nugarinimo) efektyvumą esant mažesniems dujų tūriams, kas pasiekiama per optimizuotą šaltinio geometriją.</w:t>
      </w:r>
    </w:p>
    <w:p w14:paraId="65AA9023" w14:textId="77777777" w:rsidR="0004141E" w:rsidRPr="00B1065D" w:rsidRDefault="00B1065D" w:rsidP="00B1065D">
      <w:pPr>
        <w:numPr>
          <w:ilvl w:val="0"/>
          <w:numId w:val="12"/>
        </w:numPr>
        <w:jc w:val="both"/>
        <w:rPr>
          <w:rFonts w:ascii="Times New Roman" w:hAnsi="Times New Roman" w:cs="Times New Roman"/>
        </w:rPr>
      </w:pPr>
      <w:r w:rsidRPr="00B1065D">
        <w:rPr>
          <w:rFonts w:ascii="Times New Roman" w:hAnsi="Times New Roman" w:cs="Times New Roman"/>
          <w:b/>
          <w:bCs/>
        </w:rPr>
        <w:t>Praktinė nauda:</w:t>
      </w:r>
      <w:r w:rsidRPr="00B1065D">
        <w:rPr>
          <w:rFonts w:ascii="Times New Roman" w:hAnsi="Times New Roman" w:cs="Times New Roman"/>
        </w:rPr>
        <w:t xml:space="preserve"> Azoto dujos yra viena didžiausių kasdienių masių spektrometrijos eksploatacinių išlaidų dalių. Sumažintas suvartojimas leidžia efektyviau išnaudoti laboratorijoje esančius azoto generatorius, prailgina jų filtrų tarnavimo laiką ir drastiškai sumažina suspausto oro kompresorių triukšmą bei el. sąnaudas laboratorijoje.</w:t>
      </w:r>
      <w:bookmarkStart w:id="0" w:name="_GoBack"/>
      <w:bookmarkEnd w:id="0"/>
    </w:p>
    <w:sectPr w:rsidR="0004141E" w:rsidRPr="00B106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51BB"/>
    <w:multiLevelType w:val="multilevel"/>
    <w:tmpl w:val="6A3C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4F4054"/>
    <w:multiLevelType w:val="multilevel"/>
    <w:tmpl w:val="15FA8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8000A2"/>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3B7042"/>
    <w:multiLevelType w:val="multilevel"/>
    <w:tmpl w:val="BBC03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08603B"/>
    <w:multiLevelType w:val="multilevel"/>
    <w:tmpl w:val="036A5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660BC2"/>
    <w:multiLevelType w:val="multilevel"/>
    <w:tmpl w:val="8A1E2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9B1F05"/>
    <w:multiLevelType w:val="multilevel"/>
    <w:tmpl w:val="556C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590ED7"/>
    <w:multiLevelType w:val="multilevel"/>
    <w:tmpl w:val="00C4B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165788"/>
    <w:multiLevelType w:val="multilevel"/>
    <w:tmpl w:val="8982C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2912D4"/>
    <w:multiLevelType w:val="multilevel"/>
    <w:tmpl w:val="1690D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3A71C5"/>
    <w:multiLevelType w:val="multilevel"/>
    <w:tmpl w:val="E4369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5574A9"/>
    <w:multiLevelType w:val="multilevel"/>
    <w:tmpl w:val="97FAF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7"/>
  </w:num>
  <w:num w:numId="3">
    <w:abstractNumId w:val="2"/>
  </w:num>
  <w:num w:numId="4">
    <w:abstractNumId w:val="8"/>
  </w:num>
  <w:num w:numId="5">
    <w:abstractNumId w:val="10"/>
  </w:num>
  <w:num w:numId="6">
    <w:abstractNumId w:val="4"/>
  </w:num>
  <w:num w:numId="7">
    <w:abstractNumId w:val="5"/>
  </w:num>
  <w:num w:numId="8">
    <w:abstractNumId w:val="3"/>
  </w:num>
  <w:num w:numId="9">
    <w:abstractNumId w:val="0"/>
  </w:num>
  <w:num w:numId="10">
    <w:abstractNumId w:val="1"/>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65D"/>
    <w:rsid w:val="0004141E"/>
    <w:rsid w:val="005721AB"/>
    <w:rsid w:val="00B106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D5030"/>
  <w15:chartTrackingRefBased/>
  <w15:docId w15:val="{B61556F2-4D84-42C4-A0FE-7C4A2C27C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065D"/>
    <w:pPr>
      <w:spacing w:line="278" w:lineRule="auto"/>
      <w:jc w:val="left"/>
    </w:pPr>
    <w:rPr>
      <w:kern w:val="2"/>
      <w:sz w:val="24"/>
      <w:szCs w:val="24"/>
      <w:lang w:val="lt-LT"/>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EA2EF9AB236C419BE26F40DED221E0" ma:contentTypeVersion="14" ma:contentTypeDescription="Kurkite naują dokumentą." ma:contentTypeScope="" ma:versionID="7d35587c326bd741cbd9fc0c96ce5adb">
  <xsd:schema xmlns:xsd="http://www.w3.org/2001/XMLSchema" xmlns:xs="http://www.w3.org/2001/XMLSchema" xmlns:p="http://schemas.microsoft.com/office/2006/metadata/properties" xmlns:ns3="3dbcadc2-176c-43f2-ba51-6ad2f29947d4" xmlns:ns4="53bf4003-63ef-4861-91f3-d24fd71417d5" targetNamespace="http://schemas.microsoft.com/office/2006/metadata/properties" ma:root="true" ma:fieldsID="1264e01b2536b344700f11108666867d" ns3:_="" ns4:_="">
    <xsd:import namespace="3dbcadc2-176c-43f2-ba51-6ad2f29947d4"/>
    <xsd:import namespace="53bf4003-63ef-4861-91f3-d24fd71417d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bcadc2-176c-43f2-ba51-6ad2f29947d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bf4003-63ef-4861-91f3-d24fd71417d5" elementFormDefault="qualified">
    <xsd:import namespace="http://schemas.microsoft.com/office/2006/documentManagement/types"/>
    <xsd:import namespace="http://schemas.microsoft.com/office/infopath/2007/PartnerControls"/>
    <xsd:element name="SharedWithUsers" ma:index="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Bendrinta su išsamia informacija" ma:internalName="SharedWithDetails" ma:readOnly="true">
      <xsd:simpleType>
        <xsd:restriction base="dms:Note">
          <xsd:maxLength value="255"/>
        </xsd:restriction>
      </xsd:simpleType>
    </xsd:element>
    <xsd:element name="SharingHintHash" ma:index="1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dbcadc2-176c-43f2-ba51-6ad2f29947d4" xsi:nil="true"/>
  </documentManagement>
</p:properties>
</file>

<file path=customXml/itemProps1.xml><?xml version="1.0" encoding="utf-8"?>
<ds:datastoreItem xmlns:ds="http://schemas.openxmlformats.org/officeDocument/2006/customXml" ds:itemID="{1EB520C4-6A34-4BE7-AD09-1AEEB3CAB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bcadc2-176c-43f2-ba51-6ad2f29947d4"/>
    <ds:schemaRef ds:uri="53bf4003-63ef-4861-91f3-d24fd71417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CABE66-89CF-4EEA-9423-A1309CE8BC4B}">
  <ds:schemaRefs>
    <ds:schemaRef ds:uri="http://schemas.microsoft.com/sharepoint/v3/contenttype/forms"/>
  </ds:schemaRefs>
</ds:datastoreItem>
</file>

<file path=customXml/itemProps3.xml><?xml version="1.0" encoding="utf-8"?>
<ds:datastoreItem xmlns:ds="http://schemas.openxmlformats.org/officeDocument/2006/customXml" ds:itemID="{1C11FEAD-1A4F-442C-9B7A-C871B3AB77C9}">
  <ds:schemaRefs>
    <ds:schemaRef ds:uri="http://www.w3.org/XML/1998/namespace"/>
    <ds:schemaRef ds:uri="http://purl.org/dc/dcmitype/"/>
    <ds:schemaRef ds:uri="http://schemas.openxmlformats.org/package/2006/metadata/core-properties"/>
    <ds:schemaRef ds:uri="53bf4003-63ef-4861-91f3-d24fd71417d5"/>
    <ds:schemaRef ds:uri="http://schemas.microsoft.com/office/2006/documentManagement/types"/>
    <ds:schemaRef ds:uri="http://schemas.microsoft.com/office/2006/metadata/properties"/>
    <ds:schemaRef ds:uri="3dbcadc2-176c-43f2-ba51-6ad2f29947d4"/>
    <ds:schemaRef ds:uri="http://purl.org/dc/elements/1.1/"/>
    <ds:schemaRef ds:uri="http://purl.org/dc/term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1062</Words>
  <Characters>6058</Characters>
  <Application>Microsoft Office Word</Application>
  <DocSecurity>0</DocSecurity>
  <Lines>50</Lines>
  <Paragraphs>14</Paragraphs>
  <ScaleCrop>false</ScaleCrop>
  <Company/>
  <LinksUpToDate>false</LinksUpToDate>
  <CharactersWithSpaces>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Žilius</dc:creator>
  <cp:keywords/>
  <dc:description/>
  <cp:lastModifiedBy>Mindaugas Žilius</cp:lastModifiedBy>
  <cp:revision>1</cp:revision>
  <dcterms:created xsi:type="dcterms:W3CDTF">2026-05-25T06:51:00Z</dcterms:created>
  <dcterms:modified xsi:type="dcterms:W3CDTF">2026-05-25T06:52:00Z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ecc781db-e034-48b4-a4f5-9f01acc924d1</vt:lpwstr>
  </property>
  <property fmtid="{D5CDD505-2E9C-101B-9397-08002B2CF9AE}" pid="3" name="ContentTypeId">
    <vt:lpwstr>0x0101009FEA2EF9AB236C419BE26F40DED221E0</vt:lpwstr>
  </property>
</Properties>
</file>